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outlineLvl w:val="0"/>
        <w:rPr>
          <w:rFonts w:hint="eastAsia" w:asciiTheme="minorEastAsia" w:hAnsiTheme="minorEastAsia" w:eastAsiaTheme="minorEastAsia"/>
          <w:b/>
          <w:sz w:val="36"/>
          <w:szCs w:val="36"/>
          <w:lang w:eastAsia="zh-CN"/>
        </w:rPr>
      </w:pPr>
      <w:bookmarkStart w:id="0" w:name="_Toc477960978"/>
      <w:r>
        <w:rPr>
          <w:rFonts w:hint="eastAsia" w:asciiTheme="minorEastAsia" w:hAnsiTheme="minorEastAsia" w:eastAsiaTheme="minorEastAsia"/>
          <w:b/>
          <w:sz w:val="36"/>
          <w:szCs w:val="36"/>
          <w:lang w:eastAsia="zh-CN"/>
        </w:rPr>
        <w:t>福州川达公路养护工程有限公司</w:t>
      </w:r>
    </w:p>
    <w:p>
      <w:pPr>
        <w:snapToGrid w:val="0"/>
        <w:jc w:val="center"/>
        <w:outlineLvl w:val="0"/>
        <w:rPr>
          <w:rFonts w:hint="eastAsia" w:asciiTheme="minorEastAsia" w:hAnsiTheme="minorEastAsia" w:eastAsiaTheme="minorEastAsia"/>
          <w:b/>
          <w:sz w:val="36"/>
          <w:szCs w:val="36"/>
          <w:lang w:eastAsia="zh-CN"/>
        </w:rPr>
      </w:pPr>
      <w:r>
        <w:rPr>
          <w:rFonts w:hint="eastAsia" w:asciiTheme="minorEastAsia" w:hAnsiTheme="minorEastAsia" w:eastAsiaTheme="minorEastAsia"/>
          <w:b/>
          <w:sz w:val="36"/>
          <w:szCs w:val="36"/>
          <w:lang w:eastAsia="zh-CN"/>
        </w:rPr>
        <w:t>协作队伍库房建工程类及土建工程类扩容项目</w:t>
      </w:r>
    </w:p>
    <w:p>
      <w:pPr>
        <w:snapToGrid w:val="0"/>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资格审查办法</w:t>
      </w:r>
      <w:bookmarkEnd w:id="0"/>
    </w:p>
    <w:p>
      <w:pPr>
        <w:rPr>
          <w:rFonts w:asciiTheme="minorEastAsia" w:hAnsiTheme="minorEastAsia" w:eastAsiaTheme="minorEastAsia"/>
          <w:b/>
          <w:sz w:val="28"/>
          <w:szCs w:val="28"/>
        </w:rPr>
      </w:pPr>
    </w:p>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1. 审查方法</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本次资格审查采用合格制。凡符合以下审查标准的申请人均通过资格审查。</w:t>
      </w:r>
    </w:p>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2. 审查标准</w:t>
      </w:r>
    </w:p>
    <w:tbl>
      <w:tblPr>
        <w:tblStyle w:val="15"/>
        <w:tblW w:w="8818" w:type="dxa"/>
        <w:tblInd w:w="118" w:type="dxa"/>
        <w:tblLayout w:type="fixed"/>
        <w:tblCellMar>
          <w:top w:w="0" w:type="dxa"/>
          <w:left w:w="0" w:type="dxa"/>
          <w:bottom w:w="0" w:type="dxa"/>
          <w:right w:w="0" w:type="dxa"/>
        </w:tblCellMar>
      </w:tblPr>
      <w:tblGrid>
        <w:gridCol w:w="531"/>
        <w:gridCol w:w="796"/>
        <w:gridCol w:w="2323"/>
        <w:gridCol w:w="5168"/>
      </w:tblGrid>
      <w:tr>
        <w:tblPrEx>
          <w:tblLayout w:type="fixed"/>
          <w:tblCellMar>
            <w:top w:w="0" w:type="dxa"/>
            <w:left w:w="0" w:type="dxa"/>
            <w:bottom w:w="0" w:type="dxa"/>
            <w:right w:w="0" w:type="dxa"/>
          </w:tblCellMar>
        </w:tblPrEx>
        <w:trPr>
          <w:trHeight w:val="729" w:hRule="exact"/>
        </w:trPr>
        <w:tc>
          <w:tcPr>
            <w:tcW w:w="132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left="246" w:right="-20"/>
              <w:jc w:val="left"/>
              <w:rPr>
                <w:rFonts w:asciiTheme="minorEastAsia" w:hAnsiTheme="minorEastAsia" w:eastAsiaTheme="minorEastAsia"/>
                <w:b/>
                <w:kern w:val="0"/>
                <w:sz w:val="28"/>
                <w:szCs w:val="28"/>
              </w:rPr>
            </w:pPr>
            <w:r>
              <w:rPr>
                <w:rFonts w:hint="eastAsia" w:asciiTheme="minorEastAsia" w:hAnsiTheme="minorEastAsia" w:eastAsiaTheme="minorEastAsia"/>
                <w:b/>
                <w:spacing w:val="1"/>
                <w:kern w:val="0"/>
                <w:sz w:val="28"/>
                <w:szCs w:val="28"/>
              </w:rPr>
              <w:t>条款号</w:t>
            </w:r>
          </w:p>
        </w:tc>
        <w:tc>
          <w:tcPr>
            <w:tcW w:w="232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b/>
                <w:kern w:val="0"/>
                <w:sz w:val="28"/>
                <w:szCs w:val="28"/>
              </w:rPr>
            </w:pPr>
            <w:r>
              <w:rPr>
                <w:rFonts w:hint="eastAsia" w:asciiTheme="minorEastAsia" w:hAnsiTheme="minorEastAsia" w:eastAsiaTheme="minorEastAsia"/>
                <w:b/>
                <w:spacing w:val="1"/>
                <w:kern w:val="0"/>
                <w:sz w:val="28"/>
                <w:szCs w:val="28"/>
                <w:lang w:val="en-US" w:eastAsia="zh-CN"/>
              </w:rPr>
              <w:t xml:space="preserve">    </w:t>
            </w:r>
            <w:r>
              <w:rPr>
                <w:rFonts w:hint="eastAsia" w:asciiTheme="minorEastAsia" w:hAnsiTheme="minorEastAsia" w:eastAsiaTheme="minorEastAsia"/>
                <w:b/>
                <w:spacing w:val="1"/>
                <w:kern w:val="0"/>
                <w:sz w:val="28"/>
                <w:szCs w:val="28"/>
              </w:rPr>
              <w:t>审查因素</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03"/>
              <w:jc w:val="both"/>
              <w:rPr>
                <w:rFonts w:asciiTheme="minorEastAsia" w:hAnsiTheme="minorEastAsia" w:eastAsiaTheme="minorEastAsia"/>
                <w:b/>
                <w:kern w:val="0"/>
                <w:sz w:val="28"/>
                <w:szCs w:val="28"/>
              </w:rPr>
            </w:pPr>
            <w:r>
              <w:rPr>
                <w:rFonts w:hint="eastAsia" w:asciiTheme="minorEastAsia" w:hAnsiTheme="minorEastAsia" w:eastAsiaTheme="minorEastAsia"/>
                <w:b/>
                <w:spacing w:val="1"/>
                <w:kern w:val="0"/>
                <w:sz w:val="28"/>
                <w:szCs w:val="28"/>
                <w:lang w:val="en-US" w:eastAsia="zh-CN"/>
              </w:rPr>
              <w:t xml:space="preserve">            </w:t>
            </w:r>
            <w:r>
              <w:rPr>
                <w:rFonts w:hint="eastAsia" w:asciiTheme="minorEastAsia" w:hAnsiTheme="minorEastAsia" w:eastAsiaTheme="minorEastAsia"/>
                <w:b/>
                <w:spacing w:val="1"/>
                <w:kern w:val="0"/>
                <w:sz w:val="28"/>
                <w:szCs w:val="28"/>
              </w:rPr>
              <w:t>评审标</w:t>
            </w:r>
            <w:r>
              <w:rPr>
                <w:rFonts w:hint="eastAsia" w:asciiTheme="minorEastAsia" w:hAnsiTheme="minorEastAsia" w:eastAsiaTheme="minorEastAsia"/>
                <w:b/>
                <w:spacing w:val="1"/>
                <w:kern w:val="0"/>
                <w:sz w:val="28"/>
                <w:szCs w:val="28"/>
                <w:lang w:eastAsia="zh-CN"/>
              </w:rPr>
              <w:t>准</w:t>
            </w:r>
          </w:p>
        </w:tc>
      </w:tr>
      <w:tr>
        <w:tblPrEx>
          <w:tblLayout w:type="fixed"/>
          <w:tblCellMar>
            <w:top w:w="0" w:type="dxa"/>
            <w:left w:w="0" w:type="dxa"/>
            <w:bottom w:w="0" w:type="dxa"/>
            <w:right w:w="0" w:type="dxa"/>
          </w:tblCellMar>
        </w:tblPrEx>
        <w:trPr>
          <w:trHeight w:val="1261" w:hRule="exact"/>
        </w:trPr>
        <w:tc>
          <w:tcPr>
            <w:tcW w:w="531" w:type="dxa"/>
            <w:vMerge w:val="restart"/>
            <w:tcBorders>
              <w:top w:val="single" w:color="000000" w:sz="4" w:space="0"/>
              <w:left w:val="single" w:color="000000" w:sz="4" w:space="0"/>
              <w:right w:val="single" w:color="000000" w:sz="4" w:space="0"/>
            </w:tcBorders>
            <w:vAlign w:val="center"/>
          </w:tcPr>
          <w:p>
            <w:pPr>
              <w:autoSpaceDE w:val="0"/>
              <w:autoSpaceDN w:val="0"/>
              <w:adjustRightInd w:val="0"/>
              <w:ind w:left="128" w:right="-20"/>
              <w:jc w:val="center"/>
              <w:rPr>
                <w:rFonts w:hint="eastAsia" w:asciiTheme="minorEastAsia" w:hAnsiTheme="minorEastAsia" w:eastAsiaTheme="minorEastAsia"/>
                <w:kern w:val="0"/>
                <w:sz w:val="28"/>
                <w:szCs w:val="28"/>
                <w:lang w:eastAsia="zh-CN"/>
              </w:rPr>
            </w:pPr>
            <w:r>
              <w:rPr>
                <w:rFonts w:hint="eastAsia" w:asciiTheme="minorEastAsia" w:hAnsiTheme="minorEastAsia" w:eastAsiaTheme="minorEastAsia"/>
                <w:kern w:val="0"/>
                <w:sz w:val="28"/>
                <w:szCs w:val="28"/>
                <w:lang w:val="en-US" w:eastAsia="zh-CN"/>
              </w:rPr>
              <w:t>2</w:t>
            </w:r>
          </w:p>
        </w:tc>
        <w:tc>
          <w:tcPr>
            <w:tcW w:w="796" w:type="dxa"/>
            <w:vMerge w:val="restart"/>
            <w:tcBorders>
              <w:top w:val="single" w:color="000000" w:sz="4" w:space="0"/>
              <w:left w:val="single" w:color="000000" w:sz="4" w:space="0"/>
              <w:right w:val="single" w:color="000000" w:sz="4" w:space="0"/>
            </w:tcBorders>
            <w:vAlign w:val="center"/>
          </w:tcPr>
          <w:p>
            <w:pPr>
              <w:autoSpaceDE w:val="0"/>
              <w:autoSpaceDN w:val="0"/>
              <w:adjustRightInd w:val="0"/>
              <w:ind w:left="192" w:right="17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评审标准</w:t>
            </w: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申请</w:t>
            </w:r>
            <w:r>
              <w:rPr>
                <w:rFonts w:hint="eastAsia" w:asciiTheme="minorEastAsia" w:hAnsiTheme="minorEastAsia" w:eastAsiaTheme="minorEastAsia"/>
                <w:kern w:val="0"/>
                <w:sz w:val="28"/>
                <w:szCs w:val="28"/>
              </w:rPr>
              <w:t>人名称</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与营业执照、</w:t>
            </w:r>
            <w:r>
              <w:rPr>
                <w:rFonts w:hint="eastAsia" w:asciiTheme="minorEastAsia" w:hAnsiTheme="minorEastAsia" w:eastAsiaTheme="minorEastAsia"/>
                <w:kern w:val="0"/>
                <w:sz w:val="28"/>
                <w:szCs w:val="28"/>
                <w:lang w:eastAsia="zh-CN"/>
              </w:rPr>
              <w:t>税务登记证、</w:t>
            </w:r>
            <w:r>
              <w:rPr>
                <w:rFonts w:hint="eastAsia" w:asciiTheme="minorEastAsia" w:hAnsiTheme="minorEastAsia" w:eastAsiaTheme="minorEastAsia"/>
                <w:kern w:val="0"/>
                <w:sz w:val="28"/>
                <w:szCs w:val="28"/>
              </w:rPr>
              <w:t>资质证书、安全生产许可证</w:t>
            </w:r>
            <w:r>
              <w:rPr>
                <w:rFonts w:hint="eastAsia" w:asciiTheme="minorEastAsia" w:hAnsiTheme="minorEastAsia" w:eastAsiaTheme="minorEastAsia"/>
                <w:kern w:val="0"/>
                <w:sz w:val="28"/>
                <w:szCs w:val="28"/>
                <w:lang w:eastAsia="zh-CN"/>
              </w:rPr>
              <w:t>、开户许可证</w:t>
            </w:r>
            <w:r>
              <w:rPr>
                <w:rFonts w:hint="eastAsia" w:asciiTheme="minorEastAsia" w:hAnsiTheme="minorEastAsia" w:eastAsiaTheme="minorEastAsia"/>
                <w:kern w:val="0"/>
                <w:sz w:val="28"/>
                <w:szCs w:val="28"/>
              </w:rPr>
              <w:t>一致</w:t>
            </w:r>
            <w:r>
              <w:rPr>
                <w:rFonts w:hint="eastAsia" w:asciiTheme="minorEastAsia" w:hAnsiTheme="minorEastAsia" w:eastAsiaTheme="minorEastAsia"/>
                <w:kern w:val="0"/>
                <w:sz w:val="28"/>
                <w:szCs w:val="28"/>
                <w:lang w:eastAsia="zh-CN"/>
              </w:rPr>
              <w:t>且有效</w:t>
            </w:r>
          </w:p>
        </w:tc>
      </w:tr>
      <w:tr>
        <w:tblPrEx>
          <w:tblLayout w:type="fixed"/>
          <w:tblCellMar>
            <w:top w:w="0" w:type="dxa"/>
            <w:left w:w="0" w:type="dxa"/>
            <w:bottom w:w="0" w:type="dxa"/>
            <w:right w:w="0" w:type="dxa"/>
          </w:tblCellMar>
        </w:tblPrEx>
        <w:trPr>
          <w:trHeight w:val="1318" w:hRule="exact"/>
        </w:trPr>
        <w:tc>
          <w:tcPr>
            <w:tcW w:w="531" w:type="dxa"/>
            <w:vMerge w:val="continue"/>
            <w:tcBorders>
              <w:left w:val="single" w:color="000000" w:sz="4" w:space="0"/>
              <w:right w:val="single" w:color="000000" w:sz="4" w:space="0"/>
            </w:tcBorders>
          </w:tcPr>
          <w:p>
            <w:pPr>
              <w:autoSpaceDE w:val="0"/>
              <w:autoSpaceDN w:val="0"/>
              <w:adjustRightInd w:val="0"/>
              <w:ind w:left="128"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ind w:left="192" w:right="172"/>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申请文件</w:t>
            </w:r>
            <w:r>
              <w:rPr>
                <w:rFonts w:hint="eastAsia" w:asciiTheme="minorEastAsia" w:hAnsiTheme="minorEastAsia" w:eastAsiaTheme="minorEastAsia"/>
                <w:kern w:val="0"/>
                <w:sz w:val="28"/>
                <w:szCs w:val="28"/>
              </w:rPr>
              <w:t>签字</w:t>
            </w:r>
            <w:r>
              <w:rPr>
                <w:rFonts w:hint="eastAsia" w:asciiTheme="minorEastAsia" w:hAnsiTheme="minorEastAsia" w:eastAsiaTheme="minorEastAsia"/>
                <w:kern w:val="0"/>
                <w:sz w:val="28"/>
                <w:szCs w:val="28"/>
                <w:lang w:eastAsia="zh-CN"/>
              </w:rPr>
              <w:t>、</w:t>
            </w:r>
            <w:r>
              <w:rPr>
                <w:rFonts w:hint="eastAsia" w:asciiTheme="minorEastAsia" w:hAnsiTheme="minorEastAsia" w:eastAsiaTheme="minorEastAsia"/>
                <w:kern w:val="0"/>
                <w:sz w:val="28"/>
                <w:szCs w:val="28"/>
              </w:rPr>
              <w:t>盖章</w:t>
            </w:r>
            <w:r>
              <w:rPr>
                <w:rFonts w:hint="eastAsia" w:asciiTheme="minorEastAsia" w:hAnsiTheme="minorEastAsia" w:eastAsiaTheme="minorEastAsia"/>
                <w:kern w:val="0"/>
                <w:sz w:val="28"/>
                <w:szCs w:val="28"/>
                <w:lang w:eastAsia="zh-CN"/>
              </w:rPr>
              <w:t>、装订</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hint="eastAsia" w:asciiTheme="minorEastAsia" w:hAnsiTheme="minorEastAsia" w:eastAsiaTheme="minorEastAsia"/>
                <w:kern w:val="0"/>
                <w:sz w:val="28"/>
                <w:szCs w:val="28"/>
                <w:lang w:eastAsia="zh-CN"/>
              </w:rPr>
            </w:pPr>
            <w:r>
              <w:rPr>
                <w:rFonts w:hint="eastAsia" w:asciiTheme="minorEastAsia" w:hAnsiTheme="minorEastAsia" w:eastAsiaTheme="minorEastAsia"/>
                <w:kern w:val="0"/>
                <w:sz w:val="28"/>
                <w:szCs w:val="28"/>
              </w:rPr>
              <w:t>符合</w:t>
            </w:r>
            <w:r>
              <w:rPr>
                <w:rFonts w:hint="eastAsia" w:asciiTheme="minorEastAsia" w:hAnsiTheme="minorEastAsia" w:eastAsiaTheme="minorEastAsia"/>
                <w:kern w:val="0"/>
                <w:sz w:val="28"/>
                <w:szCs w:val="28"/>
                <w:lang w:eastAsia="zh-CN"/>
              </w:rPr>
              <w:t>《资格审查申请文件》</w:t>
            </w:r>
            <w:r>
              <w:rPr>
                <w:rFonts w:hint="eastAsia" w:asciiTheme="minorEastAsia" w:hAnsiTheme="minorEastAsia" w:eastAsiaTheme="minorEastAsia"/>
                <w:kern w:val="0"/>
                <w:sz w:val="28"/>
                <w:szCs w:val="28"/>
              </w:rPr>
              <w:t>的要求</w:t>
            </w:r>
          </w:p>
        </w:tc>
      </w:tr>
      <w:tr>
        <w:tblPrEx>
          <w:tblLayout w:type="fixed"/>
          <w:tblCellMar>
            <w:top w:w="0" w:type="dxa"/>
            <w:left w:w="0" w:type="dxa"/>
            <w:bottom w:w="0" w:type="dxa"/>
            <w:right w:w="0" w:type="dxa"/>
          </w:tblCellMar>
        </w:tblPrEx>
        <w:trPr>
          <w:trHeight w:val="712" w:hRule="exact"/>
        </w:trPr>
        <w:tc>
          <w:tcPr>
            <w:tcW w:w="531" w:type="dxa"/>
            <w:vMerge w:val="continue"/>
            <w:tcBorders>
              <w:left w:val="single" w:color="000000" w:sz="4" w:space="0"/>
              <w:right w:val="single" w:color="000000" w:sz="4" w:space="0"/>
            </w:tcBorders>
          </w:tcPr>
          <w:p>
            <w:pPr>
              <w:autoSpaceDE w:val="0"/>
              <w:autoSpaceDN w:val="0"/>
              <w:adjustRightInd w:val="0"/>
              <w:ind w:left="128"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ind w:left="192" w:right="172"/>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申请文件格式</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符合</w:t>
            </w:r>
            <w:r>
              <w:rPr>
                <w:rFonts w:hint="eastAsia" w:asciiTheme="minorEastAsia" w:hAnsiTheme="minorEastAsia" w:eastAsiaTheme="minorEastAsia"/>
                <w:kern w:val="0"/>
                <w:sz w:val="28"/>
                <w:szCs w:val="28"/>
                <w:lang w:eastAsia="zh-CN"/>
              </w:rPr>
              <w:t>《资格审查申请文件》</w:t>
            </w:r>
            <w:r>
              <w:rPr>
                <w:rFonts w:hint="eastAsia" w:asciiTheme="minorEastAsia" w:hAnsiTheme="minorEastAsia" w:eastAsiaTheme="minorEastAsia"/>
                <w:kern w:val="0"/>
                <w:sz w:val="28"/>
                <w:szCs w:val="28"/>
              </w:rPr>
              <w:t>的要求</w:t>
            </w:r>
          </w:p>
        </w:tc>
      </w:tr>
      <w:tr>
        <w:tblPrEx>
          <w:tblLayout w:type="fixed"/>
          <w:tblCellMar>
            <w:top w:w="0" w:type="dxa"/>
            <w:left w:w="0" w:type="dxa"/>
            <w:bottom w:w="0" w:type="dxa"/>
            <w:right w:w="0" w:type="dxa"/>
          </w:tblCellMar>
        </w:tblPrEx>
        <w:trPr>
          <w:trHeight w:val="722" w:hRule="exact"/>
        </w:trPr>
        <w:tc>
          <w:tcPr>
            <w:tcW w:w="531" w:type="dxa"/>
            <w:vMerge w:val="continue"/>
            <w:tcBorders>
              <w:left w:val="single" w:color="000000" w:sz="4" w:space="0"/>
              <w:right w:val="single" w:color="000000" w:sz="4" w:space="0"/>
            </w:tcBorders>
          </w:tcPr>
          <w:p>
            <w:pPr>
              <w:autoSpaceDE w:val="0"/>
              <w:autoSpaceDN w:val="0"/>
              <w:adjustRightInd w:val="0"/>
              <w:ind w:left="128"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ind w:left="192" w:right="172"/>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营业执照</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具备有效的营业执照</w:t>
            </w:r>
          </w:p>
        </w:tc>
      </w:tr>
      <w:tr>
        <w:tblPrEx>
          <w:tblLayout w:type="fixed"/>
          <w:tblCellMar>
            <w:top w:w="0" w:type="dxa"/>
            <w:left w:w="0" w:type="dxa"/>
            <w:bottom w:w="0" w:type="dxa"/>
            <w:right w:w="0" w:type="dxa"/>
          </w:tblCellMar>
        </w:tblPrEx>
        <w:trPr>
          <w:trHeight w:val="1499" w:hRule="exact"/>
        </w:trPr>
        <w:tc>
          <w:tcPr>
            <w:tcW w:w="531" w:type="dxa"/>
            <w:vMerge w:val="continue"/>
            <w:tcBorders>
              <w:left w:val="single" w:color="000000" w:sz="4" w:space="0"/>
              <w:right w:val="single" w:color="000000" w:sz="4" w:space="0"/>
            </w:tcBorders>
          </w:tcPr>
          <w:p>
            <w:pPr>
              <w:autoSpaceDE w:val="0"/>
              <w:autoSpaceDN w:val="0"/>
              <w:adjustRightInd w:val="0"/>
              <w:spacing w:before="73"/>
              <w:ind w:left="1511"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spacing w:before="73"/>
              <w:ind w:left="1511" w:right="-20"/>
              <w:jc w:val="left"/>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安全生产许可证</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具备有效的安全生产许可证（公路养护企业</w:t>
            </w:r>
            <w:r>
              <w:rPr>
                <w:rFonts w:hint="eastAsia" w:asciiTheme="minorEastAsia" w:hAnsiTheme="minorEastAsia" w:eastAsiaTheme="minorEastAsia"/>
                <w:kern w:val="0"/>
                <w:sz w:val="28"/>
                <w:szCs w:val="28"/>
                <w:lang w:eastAsia="zh-CN"/>
              </w:rPr>
              <w:t>无需提供</w:t>
            </w:r>
            <w:r>
              <w:rPr>
                <w:rFonts w:hint="eastAsia" w:asciiTheme="minorEastAsia" w:hAnsiTheme="minorEastAsia" w:eastAsiaTheme="minorEastAsia"/>
                <w:kern w:val="0"/>
                <w:sz w:val="28"/>
                <w:szCs w:val="28"/>
              </w:rPr>
              <w:t>）</w:t>
            </w:r>
          </w:p>
        </w:tc>
      </w:tr>
      <w:tr>
        <w:tblPrEx>
          <w:tblLayout w:type="fixed"/>
          <w:tblCellMar>
            <w:top w:w="0" w:type="dxa"/>
            <w:left w:w="0" w:type="dxa"/>
            <w:bottom w:w="0" w:type="dxa"/>
            <w:right w:w="0" w:type="dxa"/>
          </w:tblCellMar>
        </w:tblPrEx>
        <w:trPr>
          <w:trHeight w:val="715" w:hRule="exact"/>
        </w:trPr>
        <w:tc>
          <w:tcPr>
            <w:tcW w:w="531" w:type="dxa"/>
            <w:vMerge w:val="continue"/>
            <w:tcBorders>
              <w:left w:val="single" w:color="000000" w:sz="4" w:space="0"/>
              <w:right w:val="single" w:color="000000" w:sz="4" w:space="0"/>
            </w:tcBorders>
          </w:tcPr>
          <w:p>
            <w:pPr>
              <w:autoSpaceDE w:val="0"/>
              <w:autoSpaceDN w:val="0"/>
              <w:adjustRightInd w:val="0"/>
              <w:spacing w:before="73"/>
              <w:ind w:left="1195"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spacing w:before="73"/>
              <w:ind w:left="1195" w:right="-20"/>
              <w:jc w:val="left"/>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企业</w:t>
            </w:r>
            <w:r>
              <w:rPr>
                <w:rFonts w:hint="eastAsia" w:asciiTheme="minorEastAsia" w:hAnsiTheme="minorEastAsia" w:eastAsiaTheme="minorEastAsia"/>
                <w:kern w:val="0"/>
                <w:sz w:val="28"/>
                <w:szCs w:val="28"/>
              </w:rPr>
              <w:t>资质</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详见</w:t>
            </w:r>
            <w:r>
              <w:rPr>
                <w:rFonts w:hint="eastAsia" w:asciiTheme="minorEastAsia" w:hAnsiTheme="minorEastAsia" w:eastAsiaTheme="minorEastAsia"/>
                <w:kern w:val="0"/>
                <w:sz w:val="28"/>
                <w:szCs w:val="28"/>
                <w:lang w:eastAsia="zh-CN"/>
              </w:rPr>
              <w:t>《</w:t>
            </w:r>
            <w:r>
              <w:rPr>
                <w:rFonts w:hint="eastAsia" w:asciiTheme="minorEastAsia" w:hAnsiTheme="minorEastAsia" w:eastAsiaTheme="minorEastAsia"/>
                <w:kern w:val="0"/>
                <w:sz w:val="28"/>
                <w:szCs w:val="28"/>
              </w:rPr>
              <w:t>资格审查申请人须知</w:t>
            </w:r>
            <w:r>
              <w:rPr>
                <w:rFonts w:hint="eastAsia" w:asciiTheme="minorEastAsia" w:hAnsiTheme="minorEastAsia" w:eastAsiaTheme="minorEastAsia"/>
                <w:kern w:val="0"/>
                <w:sz w:val="28"/>
                <w:szCs w:val="28"/>
                <w:lang w:eastAsia="zh-CN"/>
              </w:rPr>
              <w:t>》</w:t>
            </w:r>
          </w:p>
        </w:tc>
      </w:tr>
      <w:tr>
        <w:tblPrEx>
          <w:tblLayout w:type="fixed"/>
          <w:tblCellMar>
            <w:top w:w="0" w:type="dxa"/>
            <w:left w:w="0" w:type="dxa"/>
            <w:bottom w:w="0" w:type="dxa"/>
            <w:right w:w="0" w:type="dxa"/>
          </w:tblCellMar>
        </w:tblPrEx>
        <w:trPr>
          <w:trHeight w:val="887" w:hRule="exact"/>
        </w:trPr>
        <w:tc>
          <w:tcPr>
            <w:tcW w:w="531" w:type="dxa"/>
            <w:vMerge w:val="continue"/>
            <w:tcBorders>
              <w:left w:val="single" w:color="000000" w:sz="4" w:space="0"/>
              <w:right w:val="single" w:color="000000" w:sz="4" w:space="0"/>
            </w:tcBorders>
          </w:tcPr>
          <w:p>
            <w:pPr>
              <w:autoSpaceDE w:val="0"/>
              <w:autoSpaceDN w:val="0"/>
              <w:adjustRightInd w:val="0"/>
              <w:spacing w:before="73"/>
              <w:ind w:left="630" w:right="-20"/>
              <w:jc w:val="left"/>
              <w:rPr>
                <w:rFonts w:asciiTheme="minorEastAsia" w:hAnsiTheme="minorEastAsia" w:eastAsiaTheme="minorEastAsia"/>
                <w:kern w:val="0"/>
                <w:sz w:val="28"/>
                <w:szCs w:val="28"/>
              </w:rPr>
            </w:pPr>
          </w:p>
        </w:tc>
        <w:tc>
          <w:tcPr>
            <w:tcW w:w="796" w:type="dxa"/>
            <w:vMerge w:val="continue"/>
            <w:tcBorders>
              <w:left w:val="single" w:color="000000" w:sz="4" w:space="0"/>
              <w:right w:val="single" w:color="000000" w:sz="4" w:space="0"/>
            </w:tcBorders>
          </w:tcPr>
          <w:p>
            <w:pPr>
              <w:autoSpaceDE w:val="0"/>
              <w:autoSpaceDN w:val="0"/>
              <w:adjustRightInd w:val="0"/>
              <w:spacing w:before="73"/>
              <w:ind w:left="630" w:right="-20"/>
              <w:jc w:val="left"/>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业绩</w:t>
            </w:r>
          </w:p>
        </w:tc>
        <w:tc>
          <w:tcPr>
            <w:tcW w:w="516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ind w:right="-20"/>
              <w:jc w:val="both"/>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无要求</w:t>
            </w:r>
          </w:p>
        </w:tc>
      </w:tr>
      <w:tr>
        <w:tblPrEx>
          <w:tblLayout w:type="fixed"/>
          <w:tblCellMar>
            <w:top w:w="0" w:type="dxa"/>
            <w:left w:w="0" w:type="dxa"/>
            <w:bottom w:w="0" w:type="dxa"/>
            <w:right w:w="0" w:type="dxa"/>
          </w:tblCellMar>
        </w:tblPrEx>
        <w:trPr>
          <w:trHeight w:val="1357" w:hRule="exact"/>
        </w:trPr>
        <w:tc>
          <w:tcPr>
            <w:tcW w:w="531" w:type="dxa"/>
            <w:vMerge w:val="continue"/>
            <w:tcBorders>
              <w:left w:val="single" w:color="000000" w:sz="4" w:space="0"/>
              <w:bottom w:val="single" w:color="000000" w:sz="4" w:space="0"/>
              <w:right w:val="single" w:color="000000" w:sz="4" w:space="0"/>
            </w:tcBorders>
          </w:tcPr>
          <w:p>
            <w:pPr>
              <w:autoSpaceDE w:val="0"/>
              <w:autoSpaceDN w:val="0"/>
              <w:adjustRightInd w:val="0"/>
              <w:spacing w:before="73"/>
              <w:ind w:left="630" w:right="-20"/>
              <w:jc w:val="left"/>
              <w:rPr>
                <w:rFonts w:asciiTheme="minorEastAsia" w:hAnsiTheme="minorEastAsia" w:eastAsiaTheme="minorEastAsia"/>
                <w:kern w:val="0"/>
                <w:sz w:val="28"/>
                <w:szCs w:val="28"/>
              </w:rPr>
            </w:pPr>
          </w:p>
        </w:tc>
        <w:tc>
          <w:tcPr>
            <w:tcW w:w="796" w:type="dxa"/>
            <w:vMerge w:val="continue"/>
            <w:tcBorders>
              <w:left w:val="single" w:color="000000" w:sz="4" w:space="0"/>
              <w:bottom w:val="single" w:color="000000" w:sz="4" w:space="0"/>
              <w:right w:val="single" w:color="000000" w:sz="4" w:space="0"/>
            </w:tcBorders>
          </w:tcPr>
          <w:p>
            <w:pPr>
              <w:autoSpaceDE w:val="0"/>
              <w:autoSpaceDN w:val="0"/>
              <w:adjustRightInd w:val="0"/>
              <w:spacing w:before="73"/>
              <w:ind w:left="630" w:right="-20"/>
              <w:jc w:val="left"/>
              <w:rPr>
                <w:rFonts w:asciiTheme="minorEastAsia" w:hAnsiTheme="minorEastAsia" w:eastAsiaTheme="minorEastAsia"/>
                <w:kern w:val="0"/>
                <w:sz w:val="28"/>
                <w:szCs w:val="28"/>
              </w:rPr>
            </w:pPr>
          </w:p>
        </w:tc>
        <w:tc>
          <w:tcPr>
            <w:tcW w:w="232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3"/>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信誉</w:t>
            </w:r>
          </w:p>
        </w:tc>
        <w:tc>
          <w:tcPr>
            <w:tcW w:w="516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3"/>
              <w:ind w:right="-2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企业及其法</w:t>
            </w:r>
            <w:r>
              <w:rPr>
                <w:rFonts w:hint="eastAsia" w:asciiTheme="minorEastAsia" w:hAnsiTheme="minorEastAsia" w:eastAsiaTheme="minorEastAsia"/>
                <w:kern w:val="0"/>
                <w:sz w:val="28"/>
                <w:szCs w:val="28"/>
                <w:lang w:eastAsia="zh-CN"/>
              </w:rPr>
              <w:t>定代表</w:t>
            </w:r>
            <w:r>
              <w:rPr>
                <w:rFonts w:hint="eastAsia" w:asciiTheme="minorEastAsia" w:hAnsiTheme="minorEastAsia" w:eastAsiaTheme="minorEastAsia"/>
                <w:kern w:val="0"/>
                <w:sz w:val="28"/>
                <w:szCs w:val="28"/>
              </w:rPr>
              <w:t>人无行贿</w:t>
            </w:r>
            <w:r>
              <w:rPr>
                <w:rFonts w:hint="eastAsia" w:asciiTheme="minorEastAsia" w:hAnsiTheme="minorEastAsia" w:eastAsiaTheme="minorEastAsia"/>
                <w:kern w:val="0"/>
                <w:sz w:val="28"/>
                <w:szCs w:val="28"/>
                <w:lang w:eastAsia="zh-CN"/>
              </w:rPr>
              <w:t>记录</w:t>
            </w:r>
            <w:r>
              <w:rPr>
                <w:rFonts w:hint="eastAsia" w:asciiTheme="minorEastAsia" w:hAnsiTheme="minorEastAsia" w:eastAsiaTheme="minorEastAsia"/>
                <w:kern w:val="0"/>
                <w:sz w:val="28"/>
                <w:szCs w:val="28"/>
              </w:rPr>
              <w:t>（企业属</w:t>
            </w:r>
            <w:r>
              <w:rPr>
                <w:rFonts w:hint="eastAsia" w:asciiTheme="minorEastAsia" w:hAnsiTheme="minorEastAsia" w:eastAsiaTheme="minorEastAsia"/>
                <w:kern w:val="0"/>
                <w:sz w:val="28"/>
                <w:szCs w:val="28"/>
                <w:lang w:eastAsia="zh-CN"/>
              </w:rPr>
              <w:t>地</w:t>
            </w:r>
            <w:r>
              <w:rPr>
                <w:rFonts w:hint="eastAsia" w:asciiTheme="minorEastAsia" w:hAnsiTheme="minorEastAsia" w:eastAsiaTheme="minorEastAsia"/>
                <w:kern w:val="0"/>
                <w:sz w:val="28"/>
                <w:szCs w:val="28"/>
              </w:rPr>
              <w:t>检察院出具的原件）</w:t>
            </w:r>
          </w:p>
        </w:tc>
      </w:tr>
    </w:tbl>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3. 审查程序</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3.1.1 审查委员会依据第2 款规定的标准，对通过初步审查的资格审查申请文件进行详细审查，有一项因素不符合审查标准的，</w:t>
      </w:r>
      <w:r>
        <w:rPr>
          <w:rFonts w:hint="eastAsia" w:asciiTheme="minorEastAsia" w:hAnsiTheme="minorEastAsia" w:eastAsiaTheme="minorEastAsia"/>
          <w:sz w:val="28"/>
          <w:szCs w:val="28"/>
          <w:lang w:eastAsia="zh-CN"/>
        </w:rPr>
        <w:t>即</w:t>
      </w:r>
      <w:r>
        <w:rPr>
          <w:rFonts w:hint="eastAsia" w:asciiTheme="minorEastAsia" w:hAnsiTheme="minorEastAsia" w:eastAsiaTheme="minorEastAsia"/>
          <w:sz w:val="28"/>
          <w:szCs w:val="28"/>
        </w:rPr>
        <w:t>不能通过资格审查。</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3.1.2 通过资格审查的申请人除应满足第 2款、规定的审查标准外，</w:t>
      </w:r>
      <w:r>
        <w:rPr>
          <w:rFonts w:hint="eastAsia" w:asciiTheme="minorEastAsia" w:hAnsiTheme="minorEastAsia" w:eastAsiaTheme="minorEastAsia"/>
          <w:sz w:val="28"/>
          <w:szCs w:val="28"/>
          <w:lang w:eastAsia="zh-CN"/>
        </w:rPr>
        <w:t>且</w:t>
      </w:r>
      <w:r>
        <w:rPr>
          <w:rFonts w:hint="eastAsia" w:asciiTheme="minorEastAsia" w:hAnsiTheme="minorEastAsia" w:eastAsiaTheme="minorEastAsia"/>
          <w:sz w:val="28"/>
          <w:szCs w:val="28"/>
        </w:rPr>
        <w:t>不得存在下列任何一种情形：</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（1）不按审查委员会要求澄清或说明的；</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 xml:space="preserve">    </w:t>
      </w:r>
      <w:r>
        <w:rPr>
          <w:rFonts w:hint="eastAsia" w:asciiTheme="minorEastAsia" w:hAnsiTheme="minorEastAsia" w:eastAsiaTheme="minorEastAsia"/>
          <w:sz w:val="28"/>
          <w:szCs w:val="28"/>
        </w:rPr>
        <w:t>（2）有</w:t>
      </w:r>
      <w:r>
        <w:rPr>
          <w:rFonts w:hint="eastAsia" w:asciiTheme="minorEastAsia" w:hAnsiTheme="minorEastAsia" w:eastAsiaTheme="minorEastAsia"/>
          <w:sz w:val="28"/>
          <w:szCs w:val="28"/>
          <w:lang w:eastAsia="zh-CN"/>
        </w:rPr>
        <w:t>《资格审查申请人须知》</w:t>
      </w:r>
      <w:r>
        <w:rPr>
          <w:rFonts w:hint="eastAsia" w:asciiTheme="minorEastAsia" w:hAnsiTheme="minorEastAsia" w:eastAsiaTheme="minorEastAsia"/>
          <w:sz w:val="28"/>
          <w:szCs w:val="28"/>
        </w:rPr>
        <w:t>“申请人</w:t>
      </w:r>
      <w:r>
        <w:rPr>
          <w:rFonts w:hint="eastAsia" w:asciiTheme="minorEastAsia" w:hAnsiTheme="minorEastAsia" w:eastAsiaTheme="minorEastAsia"/>
          <w:sz w:val="28"/>
          <w:szCs w:val="28"/>
          <w:lang w:eastAsia="zh-CN"/>
        </w:rPr>
        <w:t>资格要求</w:t>
      </w:r>
      <w:r>
        <w:rPr>
          <w:rFonts w:hint="eastAsia" w:asciiTheme="minorEastAsia" w:hAnsiTheme="minorEastAsia" w:eastAsiaTheme="minorEastAsia"/>
          <w:sz w:val="28"/>
          <w:szCs w:val="28"/>
        </w:rPr>
        <w:t>”第 1.</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rPr>
        <w:t>.3 项规定的任何一种情形的；</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（3）在资格审查过程中弄虚作假、行贿或有其他违法违规行为的。</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3.2资格审查申请文件的澄清</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在审查过程中，</w:t>
      </w:r>
      <w:r>
        <w:rPr>
          <w:rFonts w:hint="eastAsia" w:asciiTheme="minorEastAsia" w:hAnsiTheme="minorEastAsia" w:eastAsiaTheme="minorEastAsia"/>
          <w:sz w:val="28"/>
          <w:szCs w:val="28"/>
          <w:lang w:eastAsia="zh-CN"/>
        </w:rPr>
        <w:t>建库人</w:t>
      </w:r>
      <w:r>
        <w:rPr>
          <w:rFonts w:hint="eastAsia" w:asciiTheme="minorEastAsia" w:hAnsiTheme="minorEastAsia" w:eastAsiaTheme="minorEastAsia"/>
          <w:sz w:val="28"/>
          <w:szCs w:val="28"/>
        </w:rPr>
        <w:t>审查委员会</w:t>
      </w:r>
      <w:r>
        <w:rPr>
          <w:rFonts w:hint="eastAsia" w:asciiTheme="minorEastAsia" w:hAnsiTheme="minorEastAsia" w:eastAsiaTheme="minorEastAsia"/>
          <w:sz w:val="28"/>
          <w:szCs w:val="28"/>
          <w:lang w:eastAsia="zh-CN"/>
        </w:rPr>
        <w:t>可以</w:t>
      </w:r>
      <w:r>
        <w:rPr>
          <w:rFonts w:hint="eastAsia" w:asciiTheme="minorEastAsia" w:hAnsiTheme="minorEastAsia" w:eastAsiaTheme="minorEastAsia"/>
          <w:sz w:val="28"/>
          <w:szCs w:val="28"/>
        </w:rPr>
        <w:t>要求申请人对所提交的资格审查申请文件中不明确的内容进行必要的澄清或说明。申请人的澄清或说明</w:t>
      </w:r>
      <w:r>
        <w:rPr>
          <w:rFonts w:hint="eastAsia" w:asciiTheme="minorEastAsia" w:hAnsiTheme="minorEastAsia" w:eastAsiaTheme="minorEastAsia"/>
          <w:sz w:val="28"/>
          <w:szCs w:val="28"/>
          <w:lang w:eastAsia="zh-CN"/>
        </w:rPr>
        <w:t>须</w:t>
      </w:r>
      <w:r>
        <w:rPr>
          <w:rFonts w:hint="eastAsia" w:asciiTheme="minorEastAsia" w:hAnsiTheme="minorEastAsia" w:eastAsiaTheme="minorEastAsia"/>
          <w:sz w:val="28"/>
          <w:szCs w:val="28"/>
        </w:rPr>
        <w:t>采用书面形式</w:t>
      </w:r>
      <w:r>
        <w:rPr>
          <w:rFonts w:hint="eastAsia" w:asciiTheme="minorEastAsia" w:hAnsiTheme="minorEastAsia" w:eastAsiaTheme="minorEastAsia"/>
          <w:sz w:val="28"/>
          <w:szCs w:val="28"/>
          <w:lang w:eastAsia="zh-CN"/>
        </w:rPr>
        <w:t>提交</w:t>
      </w:r>
      <w:r>
        <w:rPr>
          <w:rFonts w:hint="eastAsia" w:asciiTheme="minorEastAsia" w:hAnsiTheme="minorEastAsia" w:eastAsiaTheme="minorEastAsia"/>
          <w:sz w:val="28"/>
          <w:szCs w:val="28"/>
        </w:rPr>
        <w:t>，并不得改变资格审查申请文件的实质性内容。申请人的澄清和说明内容属于资格审查申请文件的组成部分。</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人审查委员会不接受申请人主动提出的澄清或说明。</w:t>
      </w:r>
    </w:p>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4. 审查结果</w:t>
      </w:r>
    </w:p>
    <w:p>
      <w:pPr>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4.1 提交审查报告</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审查委员会按照第3条规定的程序对资格审查申请文件完成审查后，确定通过资格审查的申请人名单，并向</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人提交书面</w:t>
      </w:r>
      <w:r>
        <w:rPr>
          <w:rFonts w:hint="eastAsia" w:asciiTheme="minorEastAsia" w:hAnsiTheme="minorEastAsia" w:eastAsiaTheme="minorEastAsia"/>
          <w:sz w:val="28"/>
          <w:szCs w:val="28"/>
          <w:lang w:eastAsia="zh-CN"/>
        </w:rPr>
        <w:t>资格</w:t>
      </w:r>
      <w:r>
        <w:rPr>
          <w:rFonts w:hint="eastAsia" w:asciiTheme="minorEastAsia" w:hAnsiTheme="minorEastAsia" w:eastAsiaTheme="minorEastAsia"/>
          <w:sz w:val="28"/>
          <w:szCs w:val="28"/>
        </w:rPr>
        <w:t>审查报告。</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4.2 重新</w:t>
      </w:r>
      <w:r>
        <w:rPr>
          <w:rFonts w:hint="eastAsia" w:asciiTheme="minorEastAsia" w:hAnsiTheme="minorEastAsia" w:eastAsiaTheme="minorEastAsia"/>
          <w:b/>
          <w:sz w:val="28"/>
          <w:szCs w:val="28"/>
          <w:lang w:eastAsia="zh-CN"/>
        </w:rPr>
        <w:t>组织</w:t>
      </w:r>
      <w:r>
        <w:rPr>
          <w:rFonts w:asciiTheme="minorEastAsia" w:hAnsiTheme="minorEastAsia" w:eastAsiaTheme="minorEastAsia"/>
          <w:b/>
          <w:sz w:val="28"/>
          <w:szCs w:val="28"/>
        </w:rPr>
        <w:t>资格审查</w:t>
      </w:r>
      <w:r>
        <w:rPr>
          <w:rFonts w:hint="eastAsia" w:asciiTheme="minorEastAsia" w:hAnsiTheme="minorEastAsia" w:eastAsiaTheme="minorEastAsia"/>
          <w:b/>
          <w:sz w:val="28"/>
          <w:szCs w:val="28"/>
          <w:lang w:eastAsia="zh-CN"/>
        </w:rPr>
        <w:t>活动</w:t>
      </w:r>
    </w:p>
    <w:p>
      <w:pPr>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若</w:t>
      </w:r>
      <w:r>
        <w:rPr>
          <w:rFonts w:hint="eastAsia" w:asciiTheme="minorEastAsia" w:hAnsiTheme="minorEastAsia" w:eastAsiaTheme="minorEastAsia"/>
          <w:color w:val="auto"/>
          <w:sz w:val="28"/>
          <w:szCs w:val="28"/>
          <w:lang w:eastAsia="zh-CN"/>
        </w:rPr>
        <w:t>本次</w:t>
      </w:r>
      <w:r>
        <w:rPr>
          <w:rFonts w:hint="eastAsia" w:asciiTheme="minorEastAsia" w:hAnsiTheme="minorEastAsia" w:eastAsiaTheme="minorEastAsia"/>
          <w:color w:val="auto"/>
          <w:sz w:val="28"/>
          <w:szCs w:val="28"/>
        </w:rPr>
        <w:t>某类别</w:t>
      </w:r>
      <w:r>
        <w:rPr>
          <w:rFonts w:asciiTheme="minorEastAsia" w:hAnsiTheme="minorEastAsia" w:eastAsiaTheme="minorEastAsia"/>
          <w:color w:val="auto"/>
          <w:sz w:val="28"/>
          <w:szCs w:val="28"/>
        </w:rPr>
        <w:t>通过资格审查的申请人数量</w:t>
      </w:r>
      <w:r>
        <w:rPr>
          <w:rFonts w:hint="eastAsia" w:asciiTheme="minorEastAsia" w:hAnsiTheme="minorEastAsia" w:eastAsiaTheme="minorEastAsia"/>
          <w:color w:val="auto"/>
          <w:sz w:val="28"/>
          <w:szCs w:val="28"/>
          <w:lang w:eastAsia="zh-CN"/>
        </w:rPr>
        <w:t>低于</w:t>
      </w:r>
      <w:r>
        <w:rPr>
          <w:rFonts w:hint="eastAsia" w:asciiTheme="minorEastAsia" w:hAnsiTheme="minorEastAsia" w:eastAsiaTheme="minorEastAsia"/>
          <w:color w:val="auto"/>
          <w:sz w:val="28"/>
          <w:szCs w:val="28"/>
          <w:lang w:val="en-US" w:eastAsia="zh-CN"/>
        </w:rPr>
        <w:t>3</w:t>
      </w:r>
      <w:r>
        <w:rPr>
          <w:rFonts w:asciiTheme="minorEastAsia" w:hAnsiTheme="minorEastAsia" w:eastAsiaTheme="minorEastAsia"/>
          <w:color w:val="auto"/>
          <w:sz w:val="28"/>
          <w:szCs w:val="28"/>
        </w:rPr>
        <w:t>个的</w:t>
      </w:r>
      <w:r>
        <w:rPr>
          <w:rFonts w:hint="eastAsia" w:asciiTheme="minorEastAsia" w:hAnsiTheme="minorEastAsia" w:eastAsiaTheme="minorEastAsia"/>
          <w:color w:val="auto"/>
          <w:sz w:val="28"/>
          <w:szCs w:val="28"/>
          <w:lang w:eastAsia="zh-CN"/>
        </w:rPr>
        <w:t>（不含</w:t>
      </w:r>
      <w:r>
        <w:rPr>
          <w:rFonts w:hint="eastAsia" w:asciiTheme="minorEastAsia" w:hAnsiTheme="minorEastAsia" w:eastAsiaTheme="minorEastAsia"/>
          <w:color w:val="auto"/>
          <w:sz w:val="28"/>
          <w:szCs w:val="28"/>
          <w:lang w:val="en-US" w:eastAsia="zh-CN"/>
        </w:rPr>
        <w:t>3个</w:t>
      </w:r>
      <w:r>
        <w:rPr>
          <w:rFonts w:hint="eastAsia" w:asciiTheme="minorEastAsia" w:hAnsiTheme="minorEastAsia" w:eastAsiaTheme="minorEastAsia"/>
          <w:color w:val="auto"/>
          <w:sz w:val="28"/>
          <w:szCs w:val="28"/>
          <w:lang w:eastAsia="zh-CN"/>
        </w:rPr>
        <w:t>）</w:t>
      </w:r>
      <w:r>
        <w:rPr>
          <w:rFonts w:asciiTheme="minorEastAsia" w:hAnsiTheme="minorEastAsia" w:eastAsiaTheme="minorEastAsia"/>
          <w:color w:val="auto"/>
          <w:sz w:val="28"/>
          <w:szCs w:val="28"/>
        </w:rPr>
        <w:t>，</w:t>
      </w:r>
      <w:r>
        <w:rPr>
          <w:rFonts w:hint="eastAsia" w:asciiTheme="minorEastAsia" w:hAnsiTheme="minorEastAsia" w:eastAsiaTheme="minorEastAsia"/>
          <w:color w:val="auto"/>
          <w:sz w:val="28"/>
          <w:szCs w:val="28"/>
          <w:lang w:eastAsia="zh-CN"/>
        </w:rPr>
        <w:t>该类别扩容</w:t>
      </w:r>
      <w:bookmarkStart w:id="1" w:name="_GoBack"/>
      <w:bookmarkEnd w:id="1"/>
      <w:r>
        <w:rPr>
          <w:rFonts w:hint="eastAsia" w:asciiTheme="minorEastAsia" w:hAnsiTheme="minorEastAsia" w:eastAsiaTheme="minorEastAsia"/>
          <w:color w:val="auto"/>
          <w:sz w:val="28"/>
          <w:szCs w:val="28"/>
          <w:lang w:eastAsia="zh-CN"/>
        </w:rPr>
        <w:t>流标，由建库人决定是否</w:t>
      </w:r>
      <w:r>
        <w:rPr>
          <w:rFonts w:asciiTheme="minorEastAsia" w:hAnsiTheme="minorEastAsia" w:eastAsiaTheme="minorEastAsia"/>
          <w:color w:val="auto"/>
          <w:sz w:val="28"/>
          <w:szCs w:val="28"/>
        </w:rPr>
        <w:t>重新组织</w:t>
      </w:r>
      <w:r>
        <w:rPr>
          <w:rFonts w:hint="eastAsia" w:asciiTheme="minorEastAsia" w:hAnsiTheme="minorEastAsia" w:eastAsiaTheme="minorEastAsia"/>
          <w:color w:val="auto"/>
          <w:sz w:val="28"/>
          <w:szCs w:val="28"/>
          <w:lang w:eastAsia="zh-CN"/>
        </w:rPr>
        <w:t>该类别的扩容活动</w:t>
      </w:r>
      <w:r>
        <w:rPr>
          <w:rFonts w:asciiTheme="minorEastAsia" w:hAnsiTheme="minorEastAsia" w:eastAsiaTheme="minorEastAsia"/>
          <w:color w:val="auto"/>
          <w:sz w:val="28"/>
          <w:szCs w:val="28"/>
        </w:rPr>
        <w:t>。</w:t>
      </w: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 xml:space="preserve">                              </w:t>
      </w: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 xml:space="preserve">                            </w:t>
      </w: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 xml:space="preserve">                            </w:t>
      </w: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firstLine="3920" w:firstLineChars="140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firstLine="3920" w:firstLineChars="1400"/>
        <w:jc w:val="left"/>
        <w:rPr>
          <w:rFonts w:hint="eastAsia" w:asciiTheme="minorEastAsia" w:hAnsiTheme="minorEastAsia" w:eastAsiaTheme="minorEastAsia"/>
          <w:kern w:val="0"/>
          <w:sz w:val="28"/>
          <w:szCs w:val="28"/>
          <w:lang w:val="en-US" w:eastAsia="zh-CN"/>
        </w:rPr>
      </w:pPr>
    </w:p>
    <w:p>
      <w:pPr>
        <w:autoSpaceDE w:val="0"/>
        <w:autoSpaceDN w:val="0"/>
        <w:adjustRightInd w:val="0"/>
        <w:spacing w:before="73"/>
        <w:ind w:right="-20" w:firstLine="3920" w:firstLineChars="1400"/>
        <w:jc w:val="left"/>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福州川达公路养护工程有限公司</w:t>
      </w: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 xml:space="preserve">                                     2018年1月15日</w:t>
      </w: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1"/>
        <w:jc w:val="left"/>
        <w:rPr>
          <w:rFonts w:cs="MingLiU" w:asciiTheme="minorEastAsia" w:hAnsiTheme="minorEastAsia" w:eastAsiaTheme="minorEastAsia"/>
          <w:kern w:val="0"/>
          <w:sz w:val="28"/>
          <w:szCs w:val="28"/>
        </w:rPr>
      </w:pPr>
    </w:p>
    <w:p>
      <w:pPr>
        <w:autoSpaceDE w:val="0"/>
        <w:autoSpaceDN w:val="0"/>
        <w:adjustRightInd w:val="0"/>
        <w:spacing w:before="73"/>
        <w:ind w:right="-20"/>
        <w:jc w:val="left"/>
        <w:rPr>
          <w:rFonts w:hint="eastAsia" w:asciiTheme="minorEastAsia" w:hAnsiTheme="minorEastAsia" w:eastAsiaTheme="minorEastAsia"/>
          <w:kern w:val="0"/>
          <w:sz w:val="28"/>
          <w:szCs w:val="28"/>
          <w:lang w:val="en-US" w:eastAsia="zh-CN"/>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 w:name="仿宋_GB2312">
    <w:altName w:val="Arial Unicode MS"/>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_GB2312">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fldChar w:fldCharType="begin"/>
    </w:r>
    <w:r>
      <w:rPr>
        <w:rStyle w:val="13"/>
      </w:rPr>
      <w:instrText xml:space="preserve">PAGE  </w:instrText>
    </w:r>
    <w:r>
      <w:fldChar w:fldCharType="separate"/>
    </w:r>
    <w:r>
      <w:rPr>
        <w:rStyle w:val="13"/>
      </w:rPr>
      <w:t>10</w:t>
    </w:r>
    <w:r>
      <w:fldChar w:fldCharType="end"/>
    </w:r>
  </w:p>
  <w:p>
    <w:pPr>
      <w:pStyle w:val="8"/>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fldChar w:fldCharType="begin"/>
    </w:r>
    <w:r>
      <w:rPr>
        <w:rStyle w:val="13"/>
      </w:rPr>
      <w:instrText xml:space="preserve">PAGE  </w:instrText>
    </w:r>
    <w:r>
      <w:fldChar w:fldCharType="end"/>
    </w:r>
  </w:p>
  <w:p>
    <w:pPr>
      <w:pStyle w:val="8"/>
      <w:ind w:right="360"/>
    </w:pPr>
    <w:r>
      <w:rPr>
        <w:szCs w:val="21"/>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901F5"/>
    <w:rsid w:val="00006DCF"/>
    <w:rsid w:val="00013BFB"/>
    <w:rsid w:val="000222E4"/>
    <w:rsid w:val="000232D7"/>
    <w:rsid w:val="000241A6"/>
    <w:rsid w:val="00045F57"/>
    <w:rsid w:val="0004723F"/>
    <w:rsid w:val="000502FD"/>
    <w:rsid w:val="00052059"/>
    <w:rsid w:val="00071B97"/>
    <w:rsid w:val="00077D6E"/>
    <w:rsid w:val="00092A8A"/>
    <w:rsid w:val="00094D29"/>
    <w:rsid w:val="00096F57"/>
    <w:rsid w:val="000A2363"/>
    <w:rsid w:val="000A529F"/>
    <w:rsid w:val="000B118B"/>
    <w:rsid w:val="000C1EEE"/>
    <w:rsid w:val="000C268B"/>
    <w:rsid w:val="000C40FF"/>
    <w:rsid w:val="000C73CA"/>
    <w:rsid w:val="000D761A"/>
    <w:rsid w:val="000E0FD7"/>
    <w:rsid w:val="000E1B18"/>
    <w:rsid w:val="000F2EA4"/>
    <w:rsid w:val="00112718"/>
    <w:rsid w:val="00113390"/>
    <w:rsid w:val="00131F48"/>
    <w:rsid w:val="00133EE2"/>
    <w:rsid w:val="001405D9"/>
    <w:rsid w:val="00143568"/>
    <w:rsid w:val="0014465A"/>
    <w:rsid w:val="00146C15"/>
    <w:rsid w:val="00165453"/>
    <w:rsid w:val="00190B57"/>
    <w:rsid w:val="001919E7"/>
    <w:rsid w:val="001B0DAB"/>
    <w:rsid w:val="001B401A"/>
    <w:rsid w:val="001D347E"/>
    <w:rsid w:val="001D3D2B"/>
    <w:rsid w:val="001D5E65"/>
    <w:rsid w:val="001E6991"/>
    <w:rsid w:val="001F4C77"/>
    <w:rsid w:val="001F582C"/>
    <w:rsid w:val="001F7023"/>
    <w:rsid w:val="00200741"/>
    <w:rsid w:val="0021166D"/>
    <w:rsid w:val="00212834"/>
    <w:rsid w:val="00212C17"/>
    <w:rsid w:val="00220F5E"/>
    <w:rsid w:val="00221CCA"/>
    <w:rsid w:val="00246734"/>
    <w:rsid w:val="00274F33"/>
    <w:rsid w:val="002759E9"/>
    <w:rsid w:val="002947DC"/>
    <w:rsid w:val="002A7389"/>
    <w:rsid w:val="002B7C08"/>
    <w:rsid w:val="002E100B"/>
    <w:rsid w:val="0030798D"/>
    <w:rsid w:val="00321BDD"/>
    <w:rsid w:val="00341464"/>
    <w:rsid w:val="00357C6D"/>
    <w:rsid w:val="00366761"/>
    <w:rsid w:val="00370B88"/>
    <w:rsid w:val="003906D3"/>
    <w:rsid w:val="0039494A"/>
    <w:rsid w:val="003A0124"/>
    <w:rsid w:val="003B2D2C"/>
    <w:rsid w:val="003C745A"/>
    <w:rsid w:val="003D549D"/>
    <w:rsid w:val="00410F8A"/>
    <w:rsid w:val="00412502"/>
    <w:rsid w:val="00421160"/>
    <w:rsid w:val="00446BC0"/>
    <w:rsid w:val="00461BFD"/>
    <w:rsid w:val="00464976"/>
    <w:rsid w:val="0047059E"/>
    <w:rsid w:val="00471459"/>
    <w:rsid w:val="004729AB"/>
    <w:rsid w:val="004915F1"/>
    <w:rsid w:val="004D13A2"/>
    <w:rsid w:val="004D2FAE"/>
    <w:rsid w:val="004D59C8"/>
    <w:rsid w:val="004D69D4"/>
    <w:rsid w:val="004E2F12"/>
    <w:rsid w:val="004E6245"/>
    <w:rsid w:val="004F37DE"/>
    <w:rsid w:val="005002A6"/>
    <w:rsid w:val="005015AC"/>
    <w:rsid w:val="00501874"/>
    <w:rsid w:val="00543FD9"/>
    <w:rsid w:val="0054560B"/>
    <w:rsid w:val="0056258B"/>
    <w:rsid w:val="00562D3B"/>
    <w:rsid w:val="0057199B"/>
    <w:rsid w:val="0059038A"/>
    <w:rsid w:val="00596E18"/>
    <w:rsid w:val="005A0697"/>
    <w:rsid w:val="005B4D4C"/>
    <w:rsid w:val="005B6C18"/>
    <w:rsid w:val="005C5679"/>
    <w:rsid w:val="005D2DB4"/>
    <w:rsid w:val="005E7EA2"/>
    <w:rsid w:val="005F3570"/>
    <w:rsid w:val="005F5F3F"/>
    <w:rsid w:val="0060714B"/>
    <w:rsid w:val="00612102"/>
    <w:rsid w:val="00626381"/>
    <w:rsid w:val="006312C8"/>
    <w:rsid w:val="00635406"/>
    <w:rsid w:val="00640EC1"/>
    <w:rsid w:val="006417D1"/>
    <w:rsid w:val="00650490"/>
    <w:rsid w:val="006614CC"/>
    <w:rsid w:val="00661969"/>
    <w:rsid w:val="006772A9"/>
    <w:rsid w:val="00682C31"/>
    <w:rsid w:val="006928AC"/>
    <w:rsid w:val="0069789D"/>
    <w:rsid w:val="006A0B9F"/>
    <w:rsid w:val="006A6973"/>
    <w:rsid w:val="006D0809"/>
    <w:rsid w:val="006D7CFB"/>
    <w:rsid w:val="006E2EDD"/>
    <w:rsid w:val="006E54C8"/>
    <w:rsid w:val="007050A6"/>
    <w:rsid w:val="007164E3"/>
    <w:rsid w:val="0072533D"/>
    <w:rsid w:val="00727306"/>
    <w:rsid w:val="00734A4E"/>
    <w:rsid w:val="00736368"/>
    <w:rsid w:val="00742484"/>
    <w:rsid w:val="007469C0"/>
    <w:rsid w:val="00746D10"/>
    <w:rsid w:val="0076583F"/>
    <w:rsid w:val="007674DE"/>
    <w:rsid w:val="007A2435"/>
    <w:rsid w:val="007A6AF9"/>
    <w:rsid w:val="007B3D08"/>
    <w:rsid w:val="007B46DD"/>
    <w:rsid w:val="007C1A3E"/>
    <w:rsid w:val="007C2BF1"/>
    <w:rsid w:val="007C574B"/>
    <w:rsid w:val="007C5A73"/>
    <w:rsid w:val="007D12B4"/>
    <w:rsid w:val="007D4A8B"/>
    <w:rsid w:val="007D66AC"/>
    <w:rsid w:val="007E2407"/>
    <w:rsid w:val="007E2D37"/>
    <w:rsid w:val="007E6637"/>
    <w:rsid w:val="007E7D9D"/>
    <w:rsid w:val="007F2A5A"/>
    <w:rsid w:val="00850560"/>
    <w:rsid w:val="00856A9F"/>
    <w:rsid w:val="00857A30"/>
    <w:rsid w:val="00877E48"/>
    <w:rsid w:val="008901F5"/>
    <w:rsid w:val="00897B3A"/>
    <w:rsid w:val="008C4096"/>
    <w:rsid w:val="008E0710"/>
    <w:rsid w:val="008E3610"/>
    <w:rsid w:val="00922954"/>
    <w:rsid w:val="00930422"/>
    <w:rsid w:val="00936B62"/>
    <w:rsid w:val="0094414B"/>
    <w:rsid w:val="0095015D"/>
    <w:rsid w:val="0095276F"/>
    <w:rsid w:val="009551DF"/>
    <w:rsid w:val="009556CB"/>
    <w:rsid w:val="0095722C"/>
    <w:rsid w:val="00965C73"/>
    <w:rsid w:val="009778F8"/>
    <w:rsid w:val="00980867"/>
    <w:rsid w:val="00993D9F"/>
    <w:rsid w:val="009A0F1A"/>
    <w:rsid w:val="009A303E"/>
    <w:rsid w:val="009A615F"/>
    <w:rsid w:val="009B1966"/>
    <w:rsid w:val="009D7958"/>
    <w:rsid w:val="009E1939"/>
    <w:rsid w:val="009E23B3"/>
    <w:rsid w:val="009E714E"/>
    <w:rsid w:val="009F37BD"/>
    <w:rsid w:val="00A02451"/>
    <w:rsid w:val="00A14A8A"/>
    <w:rsid w:val="00A2521A"/>
    <w:rsid w:val="00A323D8"/>
    <w:rsid w:val="00A546EE"/>
    <w:rsid w:val="00A557CF"/>
    <w:rsid w:val="00A55C20"/>
    <w:rsid w:val="00A5759D"/>
    <w:rsid w:val="00A76FAB"/>
    <w:rsid w:val="00A92564"/>
    <w:rsid w:val="00A9571A"/>
    <w:rsid w:val="00AA0AF9"/>
    <w:rsid w:val="00AA2033"/>
    <w:rsid w:val="00AA72D6"/>
    <w:rsid w:val="00AA7439"/>
    <w:rsid w:val="00AB472D"/>
    <w:rsid w:val="00AC00A7"/>
    <w:rsid w:val="00AC2913"/>
    <w:rsid w:val="00AD02B9"/>
    <w:rsid w:val="00AD2C37"/>
    <w:rsid w:val="00AD4D2B"/>
    <w:rsid w:val="00AE0392"/>
    <w:rsid w:val="00AE7D8E"/>
    <w:rsid w:val="00AF5028"/>
    <w:rsid w:val="00AF61D2"/>
    <w:rsid w:val="00B30313"/>
    <w:rsid w:val="00B60262"/>
    <w:rsid w:val="00B64B67"/>
    <w:rsid w:val="00B73936"/>
    <w:rsid w:val="00B97344"/>
    <w:rsid w:val="00BA3EF8"/>
    <w:rsid w:val="00BA4A65"/>
    <w:rsid w:val="00BA56D3"/>
    <w:rsid w:val="00BB47C1"/>
    <w:rsid w:val="00BC134E"/>
    <w:rsid w:val="00BC4162"/>
    <w:rsid w:val="00BC688B"/>
    <w:rsid w:val="00BD25B0"/>
    <w:rsid w:val="00C200B1"/>
    <w:rsid w:val="00C36E8C"/>
    <w:rsid w:val="00C37104"/>
    <w:rsid w:val="00C44B5E"/>
    <w:rsid w:val="00C662B4"/>
    <w:rsid w:val="00CA22F2"/>
    <w:rsid w:val="00CB0DC3"/>
    <w:rsid w:val="00CB6007"/>
    <w:rsid w:val="00CE59DF"/>
    <w:rsid w:val="00CF0ADB"/>
    <w:rsid w:val="00CF1A65"/>
    <w:rsid w:val="00CF342B"/>
    <w:rsid w:val="00D0544E"/>
    <w:rsid w:val="00D16E49"/>
    <w:rsid w:val="00D3203A"/>
    <w:rsid w:val="00D35558"/>
    <w:rsid w:val="00D35706"/>
    <w:rsid w:val="00D36717"/>
    <w:rsid w:val="00D6575E"/>
    <w:rsid w:val="00D70D6C"/>
    <w:rsid w:val="00D8041C"/>
    <w:rsid w:val="00D908F8"/>
    <w:rsid w:val="00DB2AD9"/>
    <w:rsid w:val="00DC65F8"/>
    <w:rsid w:val="00DC6731"/>
    <w:rsid w:val="00DD3EDF"/>
    <w:rsid w:val="00DE7B29"/>
    <w:rsid w:val="00E01156"/>
    <w:rsid w:val="00E102C9"/>
    <w:rsid w:val="00E15355"/>
    <w:rsid w:val="00E23E08"/>
    <w:rsid w:val="00E35A8E"/>
    <w:rsid w:val="00E417C8"/>
    <w:rsid w:val="00E41A20"/>
    <w:rsid w:val="00E46EC5"/>
    <w:rsid w:val="00E552A3"/>
    <w:rsid w:val="00E60755"/>
    <w:rsid w:val="00E81D61"/>
    <w:rsid w:val="00E87DBB"/>
    <w:rsid w:val="00E92BC1"/>
    <w:rsid w:val="00EA02E8"/>
    <w:rsid w:val="00EA0414"/>
    <w:rsid w:val="00EA449F"/>
    <w:rsid w:val="00ED4F51"/>
    <w:rsid w:val="00ED6649"/>
    <w:rsid w:val="00EE4B38"/>
    <w:rsid w:val="00EE7DAD"/>
    <w:rsid w:val="00EF3F48"/>
    <w:rsid w:val="00F064CE"/>
    <w:rsid w:val="00F16508"/>
    <w:rsid w:val="00F401D7"/>
    <w:rsid w:val="00F47864"/>
    <w:rsid w:val="00F50338"/>
    <w:rsid w:val="00F64650"/>
    <w:rsid w:val="00F7495D"/>
    <w:rsid w:val="00F75630"/>
    <w:rsid w:val="00F75651"/>
    <w:rsid w:val="00F7790C"/>
    <w:rsid w:val="00F84ACB"/>
    <w:rsid w:val="00F93CA5"/>
    <w:rsid w:val="00F95B29"/>
    <w:rsid w:val="00FC1396"/>
    <w:rsid w:val="00FF47A2"/>
    <w:rsid w:val="0196791C"/>
    <w:rsid w:val="01F74DD0"/>
    <w:rsid w:val="05222F33"/>
    <w:rsid w:val="072A0AAA"/>
    <w:rsid w:val="083E6215"/>
    <w:rsid w:val="08D60236"/>
    <w:rsid w:val="092F15EE"/>
    <w:rsid w:val="0A681C43"/>
    <w:rsid w:val="0AB22A0B"/>
    <w:rsid w:val="0C8F4EEF"/>
    <w:rsid w:val="0FF000F7"/>
    <w:rsid w:val="10596FA4"/>
    <w:rsid w:val="133D4639"/>
    <w:rsid w:val="136002D6"/>
    <w:rsid w:val="13A22B7A"/>
    <w:rsid w:val="1494668F"/>
    <w:rsid w:val="15254E87"/>
    <w:rsid w:val="16574EC8"/>
    <w:rsid w:val="17671D81"/>
    <w:rsid w:val="1792023F"/>
    <w:rsid w:val="17D72C8C"/>
    <w:rsid w:val="182A58D0"/>
    <w:rsid w:val="18884C3F"/>
    <w:rsid w:val="197A2370"/>
    <w:rsid w:val="19EB686B"/>
    <w:rsid w:val="1A466042"/>
    <w:rsid w:val="23694481"/>
    <w:rsid w:val="24D26626"/>
    <w:rsid w:val="263B5DD3"/>
    <w:rsid w:val="265734E0"/>
    <w:rsid w:val="2684379C"/>
    <w:rsid w:val="269D0AAB"/>
    <w:rsid w:val="341A58F1"/>
    <w:rsid w:val="34817151"/>
    <w:rsid w:val="34C8327F"/>
    <w:rsid w:val="360A5209"/>
    <w:rsid w:val="37A839F9"/>
    <w:rsid w:val="383B08EB"/>
    <w:rsid w:val="3858286D"/>
    <w:rsid w:val="38A442C4"/>
    <w:rsid w:val="3A5E7496"/>
    <w:rsid w:val="3CB63F04"/>
    <w:rsid w:val="3E8A4816"/>
    <w:rsid w:val="416F157E"/>
    <w:rsid w:val="43603A20"/>
    <w:rsid w:val="441D455E"/>
    <w:rsid w:val="46F901AE"/>
    <w:rsid w:val="4A7D0C00"/>
    <w:rsid w:val="4AA300E3"/>
    <w:rsid w:val="4AC25F19"/>
    <w:rsid w:val="4B65353C"/>
    <w:rsid w:val="4BDD4D4E"/>
    <w:rsid w:val="4F611909"/>
    <w:rsid w:val="50280C54"/>
    <w:rsid w:val="507168DA"/>
    <w:rsid w:val="50A22574"/>
    <w:rsid w:val="54AD1430"/>
    <w:rsid w:val="5A166F03"/>
    <w:rsid w:val="5F7B26D0"/>
    <w:rsid w:val="62216AB9"/>
    <w:rsid w:val="63FE582D"/>
    <w:rsid w:val="651169CE"/>
    <w:rsid w:val="666636D7"/>
    <w:rsid w:val="66A31A49"/>
    <w:rsid w:val="679010DF"/>
    <w:rsid w:val="69433E43"/>
    <w:rsid w:val="6966074F"/>
    <w:rsid w:val="69895090"/>
    <w:rsid w:val="69A30971"/>
    <w:rsid w:val="6A802483"/>
    <w:rsid w:val="6D66404D"/>
    <w:rsid w:val="6DC21FA8"/>
    <w:rsid w:val="6E39101A"/>
    <w:rsid w:val="756A5954"/>
    <w:rsid w:val="788B6922"/>
    <w:rsid w:val="78C636C7"/>
    <w:rsid w:val="78FB7DB1"/>
    <w:rsid w:val="7A894330"/>
    <w:rsid w:val="7C4F0DF7"/>
    <w:rsid w:val="7F1A6B12"/>
    <w:rsid w:val="7F6D1D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nhideWhenUsed="0" w:uiPriority="0" w:semiHidden="0" w:name="toa heading"/>
    <w:lsdException w:uiPriority="0" w:name="List"/>
    <w:lsdException w:uiPriority="0" w:name="List Bullet"/>
    <w:lsdException w:unhideWhenUsed="0" w:uiPriority="0" w:semiHidden="0" w:name="List Number"/>
    <w:lsdException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4"/>
    <w:basedOn w:val="1"/>
    <w:next w:val="1"/>
    <w:link w:val="26"/>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link w:val="24"/>
    <w:qFormat/>
    <w:uiPriority w:val="0"/>
    <w:pPr>
      <w:adjustRightInd w:val="0"/>
      <w:spacing w:line="360" w:lineRule="atLeast"/>
      <w:ind w:firstLine="420"/>
      <w:textAlignment w:val="baseline"/>
    </w:pPr>
    <w:rPr>
      <w:szCs w:val="20"/>
    </w:rPr>
  </w:style>
  <w:style w:type="paragraph" w:styleId="5">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6">
    <w:name w:val="Date"/>
    <w:basedOn w:val="1"/>
    <w:next w:val="1"/>
    <w:link w:val="19"/>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qFormat/>
    <w:uiPriority w:val="0"/>
    <w:pPr>
      <w:tabs>
        <w:tab w:val="center" w:pos="4153"/>
        <w:tab w:val="right" w:pos="8306"/>
      </w:tabs>
      <w:snapToGrid w:val="0"/>
      <w:jc w:val="left"/>
    </w:pPr>
    <w:rPr>
      <w:rFonts w:ascii="宋体"/>
      <w:kern w:val="0"/>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76" w:lineRule="auto"/>
      <w:jc w:val="left"/>
    </w:pPr>
    <w:rPr>
      <w:rFonts w:ascii="Calibri" w:hAnsi="Calibri"/>
      <w:kern w:val="0"/>
      <w:sz w:val="22"/>
      <w:szCs w:val="22"/>
    </w:rPr>
  </w:style>
  <w:style w:type="paragraph" w:styleId="11">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34"/>
    <w:pPr>
      <w:ind w:firstLine="420" w:firstLineChars="200"/>
    </w:pPr>
    <w:rPr>
      <w:rFonts w:ascii="Calibri" w:hAnsi="Calibri"/>
      <w:szCs w:val="22"/>
    </w:rPr>
  </w:style>
  <w:style w:type="character" w:customStyle="1" w:styleId="18">
    <w:name w:val="页眉 Char"/>
    <w:basedOn w:val="12"/>
    <w:link w:val="9"/>
    <w:qFormat/>
    <w:uiPriority w:val="0"/>
    <w:rPr>
      <w:kern w:val="2"/>
      <w:sz w:val="18"/>
      <w:szCs w:val="18"/>
    </w:rPr>
  </w:style>
  <w:style w:type="character" w:customStyle="1" w:styleId="19">
    <w:name w:val="日期 Char"/>
    <w:basedOn w:val="12"/>
    <w:link w:val="6"/>
    <w:qFormat/>
    <w:uiPriority w:val="0"/>
    <w:rPr>
      <w:kern w:val="2"/>
      <w:sz w:val="21"/>
      <w:szCs w:val="24"/>
    </w:rPr>
  </w:style>
  <w:style w:type="character" w:customStyle="1" w:styleId="20">
    <w:name w:val="标题 1 Char"/>
    <w:basedOn w:val="12"/>
    <w:link w:val="2"/>
    <w:qFormat/>
    <w:uiPriority w:val="0"/>
    <w:rPr>
      <w:b/>
      <w:bCs/>
      <w:kern w:val="44"/>
      <w:sz w:val="44"/>
      <w:szCs w:val="44"/>
    </w:rPr>
  </w:style>
  <w:style w:type="paragraph" w:customStyle="1" w:styleId="21">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2">
    <w:name w:val="批注框文本 Char"/>
    <w:basedOn w:val="12"/>
    <w:link w:val="7"/>
    <w:qFormat/>
    <w:uiPriority w:val="0"/>
    <w:rPr>
      <w:kern w:val="2"/>
      <w:sz w:val="18"/>
      <w:szCs w:val="18"/>
    </w:rPr>
  </w:style>
  <w:style w:type="paragraph" w:customStyle="1" w:styleId="23">
    <w:name w:val="列出段落2"/>
    <w:basedOn w:val="1"/>
    <w:unhideWhenUsed/>
    <w:qFormat/>
    <w:uiPriority w:val="99"/>
    <w:pPr>
      <w:ind w:firstLine="420" w:firstLineChars="200"/>
    </w:pPr>
  </w:style>
  <w:style w:type="character" w:customStyle="1" w:styleId="24">
    <w:name w:val="正文缩进 Char"/>
    <w:link w:val="4"/>
    <w:qFormat/>
    <w:uiPriority w:val="0"/>
    <w:rPr>
      <w:kern w:val="2"/>
      <w:sz w:val="21"/>
    </w:rPr>
  </w:style>
  <w:style w:type="paragraph" w:customStyle="1" w:styleId="25">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6">
    <w:name w:val="标题 4 Char"/>
    <w:basedOn w:val="12"/>
    <w:link w:val="3"/>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912131-B14B-49B1-A8A7-F71AFF5480E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1474</Words>
  <Characters>8406</Characters>
  <Lines>70</Lines>
  <Paragraphs>19</Paragraphs>
  <ScaleCrop>false</ScaleCrop>
  <LinksUpToDate>false</LinksUpToDate>
  <CharactersWithSpaces>9861</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2017-02-21T09:17:00Z</dcterms:created>
  <dc:creator>hp</dc:creator>
  <cp:lastModifiedBy>下午茶</cp:lastModifiedBy>
  <cp:lastPrinted>2018-01-07T09:59:00Z</cp:lastPrinted>
  <dcterms:modified xsi:type="dcterms:W3CDTF">2018-01-12T07:15:43Z</dcterms:modified>
  <dc:title>福建省高速公路有限责任公司莆田管理分公司</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